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6D058FAA" w14:textId="748480E5" w:rsidR="00D721E6" w:rsidRDefault="00D721E6" w:rsidP="00EC00A6">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Pr="008C50F8">
        <w:rPr>
          <w:rFonts w:ascii="Calibri" w:hAnsi="Calibri" w:cs="Calibri"/>
          <w:b/>
          <w:sz w:val="24"/>
          <w:szCs w:val="24"/>
        </w:rPr>
        <w:t xml:space="preserve">. </w:t>
      </w:r>
      <w:r w:rsidR="00EC00A6" w:rsidRPr="00EC00A6">
        <w:rPr>
          <w:rFonts w:ascii="Calibri" w:hAnsi="Calibri" w:cs="Calibri"/>
          <w:b/>
          <w:sz w:val="24"/>
          <w:szCs w:val="24"/>
        </w:rPr>
        <w:t>„Subregion Centralny inwestuje w zielone umiejętności”</w:t>
      </w:r>
    </w:p>
    <w:p w14:paraId="58DC66BF" w14:textId="77777777" w:rsidR="00EC00A6" w:rsidRPr="00320D85" w:rsidRDefault="00EC00A6" w:rsidP="00EC00A6">
      <w:pPr>
        <w:jc w:val="center"/>
        <w:rPr>
          <w:rFonts w:ascii="Calibri" w:hAnsi="Calibri"/>
          <w:b/>
        </w:rPr>
      </w:pPr>
    </w:p>
    <w:p w14:paraId="4F406038" w14:textId="149C5AB0" w:rsidR="00EC00A6" w:rsidRPr="008C50F8" w:rsidRDefault="008622C5" w:rsidP="00EC00A6">
      <w:pPr>
        <w:jc w:val="center"/>
        <w:rPr>
          <w:rFonts w:ascii="Calibri" w:hAnsi="Calibri" w:cs="Calibri"/>
          <w:b/>
          <w:sz w:val="24"/>
          <w:szCs w:val="24"/>
        </w:rPr>
      </w:pPr>
      <w:r>
        <w:rPr>
          <w:rFonts w:ascii="Calibri" w:hAnsi="Calibri" w:cs="Calibri"/>
          <w:b/>
          <w:sz w:val="24"/>
          <w:szCs w:val="24"/>
        </w:rPr>
        <w:t>numer projektu</w:t>
      </w:r>
      <w:r w:rsidR="00D721E6" w:rsidRPr="008C50F8">
        <w:rPr>
          <w:rFonts w:ascii="Calibri" w:hAnsi="Calibri" w:cs="Calibri"/>
          <w:b/>
          <w:sz w:val="24"/>
          <w:szCs w:val="24"/>
        </w:rPr>
        <w:t xml:space="preserve">: </w:t>
      </w:r>
      <w:r w:rsidR="00EC00A6" w:rsidRPr="00725B20">
        <w:rPr>
          <w:rFonts w:ascii="Calibri" w:hAnsi="Calibri" w:cs="Calibri"/>
          <w:b/>
          <w:sz w:val="24"/>
          <w:szCs w:val="24"/>
        </w:rPr>
        <w:t>FESL.10.17.-IP.02-0773/23-002</w:t>
      </w:r>
    </w:p>
    <w:p w14:paraId="73B82D04" w14:textId="77777777" w:rsidR="00EC00A6" w:rsidRPr="008C50F8" w:rsidRDefault="00EC00A6" w:rsidP="00EC00A6">
      <w:pPr>
        <w:jc w:val="center"/>
        <w:rPr>
          <w:rFonts w:ascii="Calibri" w:hAnsi="Calibri" w:cs="Calibri"/>
          <w:b/>
          <w:sz w:val="24"/>
          <w:szCs w:val="24"/>
        </w:rPr>
      </w:pPr>
      <w:r w:rsidRPr="008C50F8">
        <w:rPr>
          <w:rFonts w:ascii="Calibri" w:hAnsi="Calibri" w:cs="Calibri"/>
          <w:b/>
          <w:sz w:val="24"/>
          <w:szCs w:val="24"/>
        </w:rPr>
        <w:t xml:space="preserve">Beneficjent: </w:t>
      </w:r>
      <w:r w:rsidRPr="00725B20">
        <w:rPr>
          <w:rFonts w:ascii="Calibri" w:hAnsi="Calibri" w:cs="Calibri"/>
          <w:b/>
          <w:sz w:val="24"/>
          <w:szCs w:val="24"/>
        </w:rPr>
        <w:t>SMG KRC POLAND HUMAN RESOURCES REGION POŁ</w:t>
      </w:r>
      <w:r>
        <w:rPr>
          <w:rFonts w:ascii="Calibri" w:hAnsi="Calibri" w:cs="Calibri"/>
          <w:b/>
          <w:sz w:val="24"/>
          <w:szCs w:val="24"/>
        </w:rPr>
        <w:t>U</w:t>
      </w:r>
      <w:r w:rsidRPr="00725B20">
        <w:rPr>
          <w:rFonts w:ascii="Calibri" w:hAnsi="Calibri" w:cs="Calibri"/>
          <w:b/>
          <w:sz w:val="24"/>
          <w:szCs w:val="24"/>
        </w:rPr>
        <w:t xml:space="preserve">DNIOWY sp. z o </w:t>
      </w:r>
      <w:proofErr w:type="spellStart"/>
      <w:r w:rsidRPr="00725B20">
        <w:rPr>
          <w:rFonts w:ascii="Calibri" w:hAnsi="Calibri" w:cs="Calibri"/>
          <w:b/>
          <w:sz w:val="24"/>
          <w:szCs w:val="24"/>
        </w:rPr>
        <w:t>o</w:t>
      </w:r>
      <w:proofErr w:type="spellEnd"/>
      <w:r w:rsidRPr="00725B20">
        <w:rPr>
          <w:rFonts w:ascii="Calibri" w:hAnsi="Calibri" w:cs="Calibri"/>
          <w:b/>
          <w:sz w:val="24"/>
          <w:szCs w:val="24"/>
        </w:rPr>
        <w:t>.</w:t>
      </w:r>
      <w:r>
        <w:rPr>
          <w:rFonts w:ascii="Calibri" w:hAnsi="Calibri" w:cs="Calibri"/>
          <w:b/>
          <w:sz w:val="24"/>
          <w:szCs w:val="24"/>
        </w:rPr>
        <w:t xml:space="preserve"> wraz z partnerem Mimo Sp. z o.o.</w:t>
      </w:r>
    </w:p>
    <w:p w14:paraId="11FB17BD" w14:textId="7BA3E923" w:rsidR="00D721E6" w:rsidRPr="008C50F8" w:rsidRDefault="00D721E6" w:rsidP="00D721E6">
      <w:pPr>
        <w:jc w:val="center"/>
        <w:rPr>
          <w:rFonts w:ascii="Calibri" w:hAnsi="Calibri" w:cs="Calibri"/>
          <w:b/>
          <w:sz w:val="24"/>
          <w:szCs w:val="24"/>
        </w:rPr>
      </w:pPr>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3F3D5D4E"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EC00A6">
              <w:rPr>
                <w:rFonts w:ascii="Calibri" w:hAnsi="Calibri" w:cs="Calibri"/>
                <w:sz w:val="22"/>
                <w:szCs w:val="22"/>
              </w:rPr>
              <w:t>centralnego</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74A0F8C1"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EC00A6">
              <w:rPr>
                <w:rFonts w:ascii="Calibri" w:hAnsi="Calibri" w:cs="Calibri"/>
                <w:sz w:val="22"/>
                <w:szCs w:val="22"/>
              </w:rPr>
              <w:t>centralnego</w:t>
            </w:r>
            <w:r w:rsidRPr="00BE2159">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1EF1C3D9"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w:t>
            </w:r>
            <w:r w:rsidR="00EC00A6" w:rsidRPr="00725B20">
              <w:rPr>
                <w:rFonts w:ascii="Calibri" w:hAnsi="Calibri" w:cs="Calibri"/>
                <w:sz w:val="22"/>
                <w:szCs w:val="22"/>
              </w:rPr>
              <w:t>Subregion Centralny inwestuje w zielone umiejętności</w:t>
            </w:r>
            <w:r w:rsidR="00EC00A6" w:rsidRPr="005C05FF">
              <w:rPr>
                <w:rFonts w:ascii="Calibri" w:hAnsi="Calibri" w:cs="Calibri"/>
                <w:sz w:val="22"/>
                <w:szCs w:val="22"/>
              </w:rPr>
              <w:t>”</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lastRenderedPageBreak/>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0E97FB2D" w14:textId="18D38679" w:rsidR="00BE2159" w:rsidRDefault="00BE2159" w:rsidP="00C74FB4">
      <w:pPr>
        <w:pStyle w:val="Akapitzlist"/>
        <w:spacing w:after="0"/>
        <w:ind w:left="74" w:right="-284"/>
        <w:rPr>
          <w:rFonts w:cs="Calibri"/>
          <w:sz w:val="24"/>
          <w:szCs w:val="24"/>
        </w:rPr>
      </w:pPr>
    </w:p>
    <w:p w14:paraId="4D43E56D" w14:textId="77777777" w:rsidR="000B5F4B" w:rsidRPr="00EC00A6" w:rsidRDefault="000B5F4B" w:rsidP="00EC00A6">
      <w:pPr>
        <w:ind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lastRenderedPageBreak/>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0434383E"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lastRenderedPageBreak/>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vAlign w:val="center"/>
          </w:tcPr>
          <w:p w14:paraId="35719981" w14:textId="61833D56"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Pr="00256910">
              <w:rPr>
                <w:rFonts w:ascii="Calibri" w:hAnsi="Calibri" w:cs="Calibri"/>
                <w:bCs/>
                <w:sz w:val="22"/>
                <w:szCs w:val="22"/>
              </w:rPr>
              <w:t>„</w:t>
            </w:r>
            <w:r w:rsidR="00EC00A6" w:rsidRPr="00725B20">
              <w:rPr>
                <w:rFonts w:ascii="Calibri" w:hAnsi="Calibri" w:cs="Calibri"/>
                <w:sz w:val="22"/>
                <w:szCs w:val="22"/>
              </w:rPr>
              <w:t>Subregion Centralny inwestuje w zielone umiejętności</w:t>
            </w:r>
            <w:r w:rsidR="00EC00A6" w:rsidRPr="005C05FF">
              <w:rPr>
                <w:rFonts w:ascii="Calibri" w:hAnsi="Calibri" w:cs="Calibri"/>
                <w:sz w:val="22"/>
                <w:szCs w:val="22"/>
              </w:rPr>
              <w:t>”</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vAlign w:val="center"/>
          </w:tcPr>
          <w:p w14:paraId="30D11ACC" w14:textId="5955C370"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8622C5">
              <w:rPr>
                <w:rFonts w:ascii="Calibri" w:hAnsi="Calibri" w:cs="Calibri"/>
                <w:bCs/>
                <w:sz w:val="22"/>
                <w:szCs w:val="22"/>
              </w:rPr>
              <w:t>centralnego.</w:t>
            </w:r>
          </w:p>
        </w:tc>
        <w:tc>
          <w:tcPr>
            <w:tcW w:w="807"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836"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lastRenderedPageBreak/>
              <w:t>1</w:t>
            </w:r>
            <w:r w:rsidR="007A3E3B">
              <w:rPr>
                <w:rFonts w:ascii="Calibri" w:hAnsi="Calibri" w:cs="Calibri"/>
                <w:bCs/>
                <w:sz w:val="22"/>
                <w:szCs w:val="22"/>
              </w:rPr>
              <w:t>2</w:t>
            </w:r>
            <w:r w:rsidRPr="00FC511B">
              <w:rPr>
                <w:rFonts w:ascii="Calibri" w:hAnsi="Calibri" w:cs="Calibri"/>
                <w:bCs/>
                <w:sz w:val="22"/>
                <w:szCs w:val="22"/>
              </w:rPr>
              <w:t>.</w:t>
            </w:r>
          </w:p>
        </w:tc>
        <w:tc>
          <w:tcPr>
            <w:tcW w:w="7836" w:type="dxa"/>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vAlign w:val="center"/>
          </w:tcPr>
          <w:p w14:paraId="66908D92" w14:textId="7EB8CF01"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4D6D0B">
              <w:rPr>
                <w:rFonts w:ascii="Calibri" w:hAnsi="Calibri" w:cs="Calibri"/>
                <w:bCs/>
                <w:sz w:val="22"/>
                <w:szCs w:val="22"/>
              </w:rPr>
              <w:t xml:space="preserve">  </w:t>
            </w:r>
            <w:r w:rsidRPr="00256910">
              <w:rPr>
                <w:rFonts w:ascii="Calibri" w:hAnsi="Calibri" w:cs="Calibri"/>
                <w:bCs/>
                <w:sz w:val="22"/>
                <w:szCs w:val="22"/>
              </w:rPr>
              <w:t>„</w:t>
            </w:r>
            <w:r w:rsidR="00EC00A6" w:rsidRPr="00725B20">
              <w:rPr>
                <w:rFonts w:ascii="Calibri" w:hAnsi="Calibri" w:cs="Calibri"/>
                <w:sz w:val="22"/>
                <w:szCs w:val="22"/>
              </w:rPr>
              <w:t>Subregion Centralny inwestuje w zielone umiejętności</w:t>
            </w:r>
            <w:r w:rsidR="00EC00A6" w:rsidRPr="005C05FF">
              <w:rPr>
                <w:rFonts w:ascii="Calibri" w:hAnsi="Calibri" w:cs="Calibri"/>
                <w:sz w:val="22"/>
                <w:szCs w:val="22"/>
              </w:rPr>
              <w:t>”</w:t>
            </w:r>
            <w:r w:rsidRPr="00256910">
              <w:rPr>
                <w:rFonts w:ascii="Calibri" w:hAnsi="Calibri" w:cs="Calibri"/>
                <w:bCs/>
                <w:sz w:val="22"/>
                <w:szCs w:val="22"/>
              </w:rPr>
              <w:t>.</w:t>
            </w:r>
          </w:p>
        </w:tc>
        <w:tc>
          <w:tcPr>
            <w:tcW w:w="807" w:type="dxa"/>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700C5F9A" w14:textId="77777777" w:rsidR="00EC00A6" w:rsidRPr="002B0AF4" w:rsidRDefault="00EC00A6" w:rsidP="00EC00A6">
      <w:pPr>
        <w:jc w:val="center"/>
        <w:rPr>
          <w:rFonts w:asciiTheme="minorHAnsi" w:hAnsiTheme="minorHAnsi" w:cstheme="minorHAnsi"/>
          <w:b/>
          <w:bCs/>
          <w:sz w:val="28"/>
          <w:szCs w:val="28"/>
        </w:rPr>
      </w:pPr>
      <w:r w:rsidRPr="002B0AF4">
        <w:rPr>
          <w:rFonts w:asciiTheme="minorHAnsi" w:hAnsiTheme="minorHAnsi" w:cstheme="minorHAnsi"/>
          <w:b/>
          <w:bCs/>
          <w:sz w:val="28"/>
          <w:szCs w:val="28"/>
        </w:rPr>
        <w:t>Klauzula informacyjna</w:t>
      </w:r>
    </w:p>
    <w:p w14:paraId="25BC8F6F" w14:textId="77777777" w:rsidR="00EC00A6" w:rsidRPr="002B0AF4" w:rsidRDefault="00EC00A6" w:rsidP="00EC00A6">
      <w:pPr>
        <w:widowControl w:val="0"/>
        <w:jc w:val="both"/>
        <w:rPr>
          <w:rFonts w:asciiTheme="minorHAnsi" w:hAnsiTheme="minorHAnsi" w:cstheme="minorHAnsi"/>
          <w:sz w:val="22"/>
          <w:szCs w:val="22"/>
        </w:rPr>
      </w:pPr>
    </w:p>
    <w:p w14:paraId="4DD74BCC" w14:textId="77777777" w:rsidR="00EC00A6" w:rsidRPr="002B0AF4" w:rsidRDefault="00EC00A6" w:rsidP="00EC00A6">
      <w:pPr>
        <w:jc w:val="both"/>
        <w:rPr>
          <w:rFonts w:asciiTheme="minorHAnsi" w:eastAsia="Segoe UI" w:hAnsiTheme="minorHAnsi" w:cstheme="minorHAnsi"/>
          <w:b/>
          <w:bCs/>
          <w:sz w:val="24"/>
          <w:szCs w:val="24"/>
        </w:rPr>
      </w:pPr>
      <w:r w:rsidRPr="002B0AF4">
        <w:rPr>
          <w:rFonts w:asciiTheme="minorHAnsi" w:hAnsiTheme="minorHAnsi" w:cstheme="minorHAnsi"/>
          <w:sz w:val="22"/>
          <w:szCs w:val="22"/>
        </w:rPr>
        <w:t xml:space="preserve">dla Kandydata do projektu </w:t>
      </w:r>
      <w:r w:rsidRPr="002B0AF4">
        <w:rPr>
          <w:rFonts w:asciiTheme="minorHAnsi" w:eastAsia="Segoe UI" w:hAnsiTheme="minorHAnsi" w:cstheme="minorHAnsi"/>
          <w:b/>
          <w:bCs/>
          <w:sz w:val="24"/>
          <w:szCs w:val="24"/>
        </w:rPr>
        <w:t>Subregion Centralny inwestuje w zielone umiejętności</w:t>
      </w:r>
    </w:p>
    <w:p w14:paraId="5783ACF8" w14:textId="77777777" w:rsidR="00EC00A6" w:rsidRPr="002B0AF4" w:rsidRDefault="00EC00A6" w:rsidP="00EC00A6">
      <w:pPr>
        <w:widowControl w:val="0"/>
        <w:jc w:val="both"/>
        <w:rPr>
          <w:rFonts w:asciiTheme="minorHAnsi" w:hAnsiTheme="minorHAnsi" w:cstheme="minorHAnsi"/>
          <w:sz w:val="22"/>
          <w:szCs w:val="22"/>
        </w:rPr>
      </w:pPr>
    </w:p>
    <w:p w14:paraId="718F9A74"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W celu wykonania obowiązku nałożonego art. 13 RODO 33 Rozporządzenie Parlamentu Europejskiego i Rady (UE) 2016/679 z 27 kwietnia 2016 r. w sprawie ochrony osób fizycznych w związku z przetwarzaniem danych osobowych i w sprawie swobodnego przepływu takich danych (Dz. Urz. UE. L 119 z 4 maja 2016 r., s.1-88) w związku z art. 88 ustawy o zasadach  realizacji zadań finansowanych ze środków europejskich w perspektywie finansowej 2021-20274 4 Ustawa z dnia 28 kwietnia 2022 r o zasadach realizacji zadań finansowanych ze środków europejskich w perspektywie finansowej 2021-2027 (Dz.U. 2022 poz. 1079), zwana dalej „ustawą wdrożeniową”  informujemy o zasadach przetwarzania Państwa danych osobowych: </w:t>
      </w:r>
    </w:p>
    <w:p w14:paraId="2D2557B7" w14:textId="77777777" w:rsidR="00EC00A6" w:rsidRPr="002B0AF4" w:rsidRDefault="00EC00A6" w:rsidP="00EC00A6">
      <w:pPr>
        <w:widowControl w:val="0"/>
        <w:jc w:val="both"/>
        <w:rPr>
          <w:rFonts w:asciiTheme="minorHAnsi" w:hAnsiTheme="minorHAnsi" w:cstheme="minorHAnsi"/>
          <w:sz w:val="22"/>
          <w:szCs w:val="22"/>
        </w:rPr>
      </w:pPr>
    </w:p>
    <w:p w14:paraId="0CA2DFD3"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I. Administrator</w:t>
      </w:r>
    </w:p>
    <w:p w14:paraId="5F715B0C" w14:textId="6B1DB38B"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Administratorem Państwa danych osobowych jest SMG/KRC Poland Human </w:t>
      </w:r>
      <w:proofErr w:type="spellStart"/>
      <w:r w:rsidRPr="002B0AF4">
        <w:rPr>
          <w:rFonts w:asciiTheme="minorHAnsi" w:hAnsiTheme="minorHAnsi" w:cstheme="minorHAnsi"/>
          <w:sz w:val="22"/>
          <w:szCs w:val="22"/>
        </w:rPr>
        <w:t>Resources</w:t>
      </w:r>
      <w:proofErr w:type="spellEnd"/>
      <w:r w:rsidRPr="002B0AF4">
        <w:rPr>
          <w:rFonts w:asciiTheme="minorHAnsi" w:hAnsiTheme="minorHAnsi" w:cstheme="minorHAnsi"/>
          <w:sz w:val="22"/>
          <w:szCs w:val="22"/>
        </w:rPr>
        <w:t xml:space="preserve"> Region południowy Sp. z </w:t>
      </w:r>
      <w:proofErr w:type="spellStart"/>
      <w:r w:rsidRPr="002B0AF4">
        <w:rPr>
          <w:rFonts w:asciiTheme="minorHAnsi" w:hAnsiTheme="minorHAnsi" w:cstheme="minorHAnsi"/>
          <w:sz w:val="22"/>
          <w:szCs w:val="22"/>
        </w:rPr>
        <w:t>o.o</w:t>
      </w:r>
      <w:proofErr w:type="spellEnd"/>
      <w:r w:rsidRPr="002B0AF4">
        <w:rPr>
          <w:rFonts w:asciiTheme="minorHAnsi" w:hAnsiTheme="minorHAnsi" w:cstheme="minorHAnsi"/>
          <w:sz w:val="22"/>
          <w:szCs w:val="22"/>
        </w:rPr>
        <w:t xml:space="preserve"> z siedzibą w Katowicach pod adresem ul. Sokolska 65/</w:t>
      </w:r>
      <w:r w:rsidR="008622C5">
        <w:rPr>
          <w:rFonts w:asciiTheme="minorHAnsi" w:hAnsiTheme="minorHAnsi" w:cstheme="minorHAnsi"/>
          <w:sz w:val="22"/>
          <w:szCs w:val="22"/>
        </w:rPr>
        <w:t>14</w:t>
      </w:r>
      <w:r w:rsidRPr="002B0AF4">
        <w:rPr>
          <w:rFonts w:asciiTheme="minorHAnsi" w:hAnsiTheme="minorHAnsi" w:cstheme="minorHAnsi"/>
          <w:sz w:val="22"/>
          <w:szCs w:val="22"/>
        </w:rPr>
        <w:t>, 40-0</w:t>
      </w:r>
      <w:r w:rsidR="008622C5">
        <w:rPr>
          <w:rFonts w:asciiTheme="minorHAnsi" w:hAnsiTheme="minorHAnsi" w:cstheme="minorHAnsi"/>
          <w:sz w:val="22"/>
          <w:szCs w:val="22"/>
        </w:rPr>
        <w:t>8</w:t>
      </w:r>
      <w:r w:rsidRPr="002B0AF4">
        <w:rPr>
          <w:rFonts w:asciiTheme="minorHAnsi" w:hAnsiTheme="minorHAnsi" w:cstheme="minorHAnsi"/>
          <w:sz w:val="22"/>
          <w:szCs w:val="22"/>
        </w:rPr>
        <w:t xml:space="preserve">7 Katowice  reprezentowany przez Pana Romana </w:t>
      </w:r>
      <w:proofErr w:type="spellStart"/>
      <w:r w:rsidRPr="002B0AF4">
        <w:rPr>
          <w:rFonts w:asciiTheme="minorHAnsi" w:hAnsiTheme="minorHAnsi" w:cstheme="minorHAnsi"/>
          <w:sz w:val="22"/>
          <w:szCs w:val="22"/>
        </w:rPr>
        <w:t>Kraczla</w:t>
      </w:r>
      <w:proofErr w:type="spellEnd"/>
      <w:r w:rsidRPr="002B0AF4">
        <w:rPr>
          <w:rFonts w:asciiTheme="minorHAnsi" w:hAnsiTheme="minorHAnsi" w:cstheme="minorHAnsi"/>
          <w:sz w:val="22"/>
          <w:szCs w:val="22"/>
        </w:rPr>
        <w:t xml:space="preserve">. </w:t>
      </w:r>
    </w:p>
    <w:p w14:paraId="1ABEBA72" w14:textId="77777777" w:rsidR="00EC00A6" w:rsidRPr="002B0AF4" w:rsidRDefault="00EC00A6" w:rsidP="00EC00A6">
      <w:pPr>
        <w:widowControl w:val="0"/>
        <w:jc w:val="both"/>
        <w:rPr>
          <w:rFonts w:asciiTheme="minorHAnsi" w:hAnsiTheme="minorHAnsi" w:cstheme="minorHAnsi"/>
          <w:sz w:val="22"/>
          <w:szCs w:val="22"/>
        </w:rPr>
      </w:pPr>
    </w:p>
    <w:p w14:paraId="22036E26"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II. Cel przetwarzania danych</w:t>
      </w:r>
    </w:p>
    <w:p w14:paraId="78A56D43" w14:textId="02C054D6"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Dane osobowe będą przetwarzać w związku z realizacją projektu „</w:t>
      </w:r>
      <w:r w:rsidR="006829C2">
        <w:rPr>
          <w:rFonts w:asciiTheme="minorHAnsi" w:hAnsiTheme="minorHAnsi" w:cstheme="minorHAnsi"/>
          <w:sz w:val="22"/>
          <w:szCs w:val="22"/>
        </w:rPr>
        <w:t>Subregion centralny inwestuje w zielone umiejętności</w:t>
      </w:r>
      <w:r w:rsidRPr="002B0AF4">
        <w:rPr>
          <w:rFonts w:asciiTheme="minorHAnsi" w:hAnsiTheme="minorHAnsi" w:cstheme="minorHAnsi"/>
          <w:sz w:val="22"/>
          <w:szCs w:val="22"/>
        </w:rPr>
        <w:t xml:space="preserve">” w ramach Programu Fundusze Europejskie dla Śląskiego 2021-2027 w ramach Podmiotowego systemu finansowania usług rozwojowych (PSF); priorytet FESL.10 Fundusze Europejskie na transformację; działanie FESL.10.17 Kształcenie osób dorosłych – FST, w szczególności w celu zawarcia umowy na udział w projekcie oraz umowy na dofinansowanie do usług rozwojowych oraz realizacją praw i obowiązków z nimi związanych, w tym m.in. monitorowanie, sprawozdawczość, komunikacja, zarządzanie finansowe, ewaluacja, analiza, weryfikacja i audyty oraz do celów określania kwalifikowalności uczestników, rejestracji i przechowywania w formie elektronicznej danych dotyczących projektu, archiwizacji dokumentacji, prowadzenia działań </w:t>
      </w:r>
      <w:proofErr w:type="spellStart"/>
      <w:r w:rsidRPr="002B0AF4">
        <w:rPr>
          <w:rFonts w:asciiTheme="minorHAnsi" w:hAnsiTheme="minorHAnsi" w:cstheme="minorHAnsi"/>
          <w:sz w:val="22"/>
          <w:szCs w:val="22"/>
        </w:rPr>
        <w:t>informacyjno</w:t>
      </w:r>
      <w:proofErr w:type="spellEnd"/>
      <w:r w:rsidRPr="002B0AF4">
        <w:rPr>
          <w:rFonts w:asciiTheme="minorHAnsi" w:hAnsiTheme="minorHAnsi" w:cstheme="minorHAnsi"/>
          <w:sz w:val="22"/>
          <w:szCs w:val="22"/>
        </w:rPr>
        <w:t xml:space="preserve">–promocyjnych, rozliczania finansowego projektu na etapie wniosków o płatność. </w:t>
      </w:r>
    </w:p>
    <w:p w14:paraId="7D5D8BC9"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Podanie danych jest dobrowolne, ale konieczne do realizacji wyżej wymienionych celów. Odmowa ich podania jest równoznaczna z brakiem możliwości podjęcia stosownych działań. </w:t>
      </w:r>
    </w:p>
    <w:p w14:paraId="08C8A651" w14:textId="77777777" w:rsidR="00EC00A6" w:rsidRPr="002B0AF4" w:rsidRDefault="00EC00A6" w:rsidP="00EC00A6">
      <w:pPr>
        <w:widowControl w:val="0"/>
        <w:jc w:val="both"/>
        <w:rPr>
          <w:rFonts w:asciiTheme="minorHAnsi" w:hAnsiTheme="minorHAnsi" w:cstheme="minorHAnsi"/>
          <w:sz w:val="22"/>
          <w:szCs w:val="22"/>
        </w:rPr>
      </w:pPr>
    </w:p>
    <w:p w14:paraId="14A1347D"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lastRenderedPageBreak/>
        <w:t>III. Podstawa przetwarzania</w:t>
      </w:r>
    </w:p>
    <w:p w14:paraId="076768B2"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Będziemy przetwarzać Państwa dane osobowe w związku z tym, że: </w:t>
      </w:r>
    </w:p>
    <w:p w14:paraId="25281A81"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1. Zobowiązuje nas do tego prawo (art. 6 ust. 1 lit. c, art. 9 ust. 2 lit. g oraz art. 105 </w:t>
      </w:r>
    </w:p>
    <w:p w14:paraId="0E8D964A"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5 Dotyczy wyłącznie projektów aktywizujących osoby odbywające karę pozbawienia wolności. RODO)6</w:t>
      </w:r>
    </w:p>
    <w:p w14:paraId="68CB5D09"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6 Należy wskazać jeden lub kilka przepisów prawa - możliwe jest ich przywołanie w zakresie ograniczonym na potrzeby konkretnej klauzuli. : </w:t>
      </w:r>
    </w:p>
    <w:p w14:paraId="5CBD1F66" w14:textId="77777777" w:rsidR="00EC00A6" w:rsidRPr="002B0AF4" w:rsidRDefault="00EC00A6" w:rsidP="00EC00A6">
      <w:pPr>
        <w:widowControl w:val="0"/>
        <w:numPr>
          <w:ilvl w:val="0"/>
          <w:numId w:val="9"/>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rozporządzenie Parlamentu Europejskiego i Rady (UE) nr 2021/1060 z 24 czerwca 2021 r. </w:t>
      </w:r>
    </w:p>
    <w:p w14:paraId="5E6A72EE" w14:textId="77777777" w:rsidR="00EC00A6" w:rsidRPr="002B0AF4" w:rsidRDefault="00EC00A6" w:rsidP="00EC00A6">
      <w:pPr>
        <w:widowControl w:val="0"/>
        <w:jc w:val="both"/>
        <w:rPr>
          <w:rFonts w:asciiTheme="minorHAnsi" w:hAnsiTheme="minorHAnsi" w:cstheme="minorHAnsi"/>
          <w:sz w:val="22"/>
          <w:szCs w:val="22"/>
        </w:rPr>
      </w:pPr>
    </w:p>
    <w:p w14:paraId="34C7FD5D" w14:textId="77777777" w:rsidR="00EC00A6" w:rsidRPr="002B0AF4" w:rsidRDefault="00EC00A6" w:rsidP="00EC00A6">
      <w:pPr>
        <w:widowControl w:val="0"/>
        <w:rPr>
          <w:rFonts w:asciiTheme="minorHAnsi" w:hAnsiTheme="minorHAnsi" w:cstheme="minorHAnsi"/>
          <w:sz w:val="22"/>
          <w:szCs w:val="22"/>
        </w:rPr>
      </w:pPr>
      <w:r w:rsidRPr="002B0AF4">
        <w:rPr>
          <w:rFonts w:asciiTheme="minorHAnsi" w:hAnsiTheme="minorHAnsi" w:cstheme="minorHAnsi"/>
          <w:sz w:val="22"/>
          <w:szCs w:val="22"/>
        </w:rPr>
        <w:t xml:space="preserve">ustanawiającego wspólne przepisy dotyczące Europejskiego Funduszu Rozwoju Regionalnego, Europejskiego Funduszu Społecznego Plus, Funduszu Spójności, Funduszu na rzecz </w:t>
      </w:r>
    </w:p>
    <w:p w14:paraId="774F97A6" w14:textId="77777777" w:rsidR="00EC00A6" w:rsidRPr="002B0AF4" w:rsidRDefault="00EC00A6" w:rsidP="00EC00A6">
      <w:pPr>
        <w:widowControl w:val="0"/>
        <w:rPr>
          <w:rFonts w:asciiTheme="minorHAnsi" w:hAnsiTheme="minorHAnsi" w:cstheme="minorHAnsi"/>
          <w:sz w:val="22"/>
          <w:szCs w:val="22"/>
        </w:rPr>
      </w:pPr>
      <w:r w:rsidRPr="002B0AF4">
        <w:rPr>
          <w:rFonts w:asciiTheme="minorHAnsi" w:hAnsiTheme="minorHAnsi" w:cstheme="minorHAnsi"/>
          <w:sz w:val="22"/>
          <w:szCs w:val="22"/>
        </w:rPr>
        <w:t xml:space="preserve">Sprawiedliwej Transformacji i Europejskiego Funduszu Morskiego, Rybackiego i Akwakultury, </w:t>
      </w:r>
    </w:p>
    <w:p w14:paraId="4379A45B" w14:textId="77777777" w:rsidR="00EC00A6" w:rsidRPr="002B0AF4" w:rsidRDefault="00EC00A6" w:rsidP="00EC00A6">
      <w:pPr>
        <w:widowControl w:val="0"/>
        <w:rPr>
          <w:rFonts w:asciiTheme="minorHAnsi" w:hAnsiTheme="minorHAnsi" w:cstheme="minorHAnsi"/>
          <w:sz w:val="22"/>
          <w:szCs w:val="22"/>
        </w:rPr>
      </w:pPr>
      <w:r w:rsidRPr="002B0AF4">
        <w:rPr>
          <w:rFonts w:asciiTheme="minorHAnsi" w:hAnsiTheme="minorHAnsi" w:cstheme="minorHAnsi"/>
          <w:sz w:val="22"/>
          <w:szCs w:val="22"/>
        </w:rPr>
        <w:t xml:space="preserve">a także przepisy finansowe na potrzeby tych funduszy oraz na potrzeby Funduszu Azylu, </w:t>
      </w:r>
    </w:p>
    <w:p w14:paraId="2CA30403" w14:textId="77777777" w:rsidR="00EC00A6" w:rsidRPr="002B0AF4" w:rsidRDefault="00EC00A6" w:rsidP="00EC00A6">
      <w:pPr>
        <w:widowControl w:val="0"/>
        <w:rPr>
          <w:rFonts w:asciiTheme="minorHAnsi" w:hAnsiTheme="minorHAnsi" w:cstheme="minorHAnsi"/>
          <w:sz w:val="22"/>
          <w:szCs w:val="22"/>
        </w:rPr>
      </w:pPr>
      <w:r w:rsidRPr="002B0AF4">
        <w:rPr>
          <w:rFonts w:asciiTheme="minorHAnsi" w:hAnsiTheme="minorHAnsi" w:cstheme="minorHAnsi"/>
          <w:sz w:val="22"/>
          <w:szCs w:val="22"/>
        </w:rPr>
        <w:t xml:space="preserve">Migracji i Integracji, Funduszu Bezpieczeństwa Wewnętrznego i Instrumentu Wsparcia </w:t>
      </w:r>
    </w:p>
    <w:p w14:paraId="04DDAF79" w14:textId="77777777" w:rsidR="00EC00A6" w:rsidRPr="002B0AF4" w:rsidRDefault="00EC00A6" w:rsidP="00EC00A6">
      <w:pPr>
        <w:widowControl w:val="0"/>
        <w:rPr>
          <w:rFonts w:asciiTheme="minorHAnsi" w:hAnsiTheme="minorHAnsi" w:cstheme="minorHAnsi"/>
          <w:sz w:val="22"/>
          <w:szCs w:val="22"/>
        </w:rPr>
      </w:pPr>
      <w:r w:rsidRPr="002B0AF4">
        <w:rPr>
          <w:rFonts w:asciiTheme="minorHAnsi" w:hAnsiTheme="minorHAnsi" w:cstheme="minorHAnsi"/>
          <w:sz w:val="22"/>
          <w:szCs w:val="22"/>
        </w:rPr>
        <w:t xml:space="preserve">Finansowego na rzecz Zarządzania Granicami i Polityki Wizowej, w szczególności art. 44, art. </w:t>
      </w:r>
    </w:p>
    <w:p w14:paraId="47A17A44"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69, art. 72-74, art. 76, art. 82, </w:t>
      </w:r>
    </w:p>
    <w:p w14:paraId="18DC5D38" w14:textId="77777777" w:rsidR="00EC00A6" w:rsidRPr="002B0AF4" w:rsidRDefault="00EC00A6" w:rsidP="00EC00A6">
      <w:pPr>
        <w:widowControl w:val="0"/>
        <w:numPr>
          <w:ilvl w:val="0"/>
          <w:numId w:val="10"/>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rozporządzenie Parlamentu Europejskiego i Rady (UE) 2021/1057 z dnia 24 czerwca 2021 r. </w:t>
      </w:r>
    </w:p>
    <w:p w14:paraId="58F0F101" w14:textId="77777777" w:rsidR="00EC00A6" w:rsidRPr="002B0AF4" w:rsidRDefault="00EC00A6" w:rsidP="00EC00A6">
      <w:pPr>
        <w:widowControl w:val="0"/>
        <w:jc w:val="both"/>
        <w:rPr>
          <w:rFonts w:asciiTheme="minorHAnsi" w:hAnsiTheme="minorHAnsi" w:cstheme="minorHAnsi"/>
          <w:sz w:val="22"/>
          <w:szCs w:val="22"/>
        </w:rPr>
      </w:pPr>
    </w:p>
    <w:p w14:paraId="2E5A8E07"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ustanawiające Europejski Fundusz Społeczny Plus (EFS+) oraz uchylające rozporządzenie (UE) </w:t>
      </w:r>
    </w:p>
    <w:p w14:paraId="63077423"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nr 1296/2013 (Dz. Urz. UE L 231 z 30.06.2021, str. 21, z </w:t>
      </w:r>
      <w:proofErr w:type="spellStart"/>
      <w:r w:rsidRPr="002B0AF4">
        <w:rPr>
          <w:rFonts w:asciiTheme="minorHAnsi" w:hAnsiTheme="minorHAnsi" w:cstheme="minorHAnsi"/>
          <w:sz w:val="22"/>
          <w:szCs w:val="22"/>
        </w:rPr>
        <w:t>późn</w:t>
      </w:r>
      <w:proofErr w:type="spellEnd"/>
      <w:r w:rsidRPr="002B0AF4">
        <w:rPr>
          <w:rFonts w:asciiTheme="minorHAnsi" w:hAnsiTheme="minorHAnsi" w:cstheme="minorHAnsi"/>
          <w:sz w:val="22"/>
          <w:szCs w:val="22"/>
        </w:rPr>
        <w:t xml:space="preserve">. zm.), </w:t>
      </w:r>
    </w:p>
    <w:p w14:paraId="2FFF5B80" w14:textId="77777777" w:rsidR="00EC00A6" w:rsidRPr="002B0AF4" w:rsidRDefault="00EC00A6" w:rsidP="00EC00A6">
      <w:pPr>
        <w:widowControl w:val="0"/>
        <w:numPr>
          <w:ilvl w:val="0"/>
          <w:numId w:val="11"/>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ustawa z dnia 28 kwietnia 2022 r. o zasadach realizacji zadań finansowanych ze środków </w:t>
      </w:r>
    </w:p>
    <w:p w14:paraId="72660FD8" w14:textId="77777777" w:rsidR="00EC00A6" w:rsidRPr="002B0AF4" w:rsidRDefault="00EC00A6" w:rsidP="00EC00A6">
      <w:pPr>
        <w:widowControl w:val="0"/>
        <w:jc w:val="both"/>
        <w:rPr>
          <w:rFonts w:asciiTheme="minorHAnsi" w:hAnsiTheme="minorHAnsi" w:cstheme="minorHAnsi"/>
          <w:sz w:val="22"/>
          <w:szCs w:val="22"/>
        </w:rPr>
      </w:pPr>
    </w:p>
    <w:p w14:paraId="507AC336"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europejskich w perspektywie finansowej 2021-2027, w szczególności art. 87-93, </w:t>
      </w:r>
    </w:p>
    <w:p w14:paraId="109FBE45" w14:textId="77777777" w:rsidR="00EC00A6" w:rsidRPr="002B0AF4" w:rsidRDefault="00EC00A6" w:rsidP="00EC00A6">
      <w:pPr>
        <w:widowControl w:val="0"/>
        <w:numPr>
          <w:ilvl w:val="0"/>
          <w:numId w:val="12"/>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ustawa z 14 czerwca 1960 r. - Kodeks postępowania administracyjnego, </w:t>
      </w:r>
    </w:p>
    <w:p w14:paraId="5B5313C3" w14:textId="77777777" w:rsidR="00EC00A6" w:rsidRPr="002B0AF4" w:rsidRDefault="00EC00A6" w:rsidP="00EC00A6">
      <w:pPr>
        <w:widowControl w:val="0"/>
        <w:numPr>
          <w:ilvl w:val="0"/>
          <w:numId w:val="12"/>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ustawa z 27 sierpnia 2009 r. o finansach publicznych, w szczególności art. 207 – 210, </w:t>
      </w:r>
    </w:p>
    <w:p w14:paraId="1D2A109C" w14:textId="77777777" w:rsidR="00EC00A6" w:rsidRPr="002B0AF4" w:rsidRDefault="00EC00A6" w:rsidP="00EC00A6">
      <w:pPr>
        <w:widowControl w:val="0"/>
        <w:numPr>
          <w:ilvl w:val="0"/>
          <w:numId w:val="12"/>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ustawa z dnia 14 lipca 1983 r. o narodowym zasobie archiwalnym i archiwach, </w:t>
      </w:r>
    </w:p>
    <w:p w14:paraId="71CBF24E" w14:textId="77777777" w:rsidR="00EC00A6" w:rsidRPr="002B0AF4" w:rsidRDefault="00EC00A6" w:rsidP="00EC00A6">
      <w:pPr>
        <w:widowControl w:val="0"/>
        <w:numPr>
          <w:ilvl w:val="0"/>
          <w:numId w:val="12"/>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Rozporządzenie z dnia 18 stycznia 2011 r. Prezesa Rady Ministrów w sprawie instrukcji </w:t>
      </w:r>
    </w:p>
    <w:p w14:paraId="381B9F09" w14:textId="77777777" w:rsidR="00EC00A6" w:rsidRPr="002B0AF4" w:rsidRDefault="00EC00A6" w:rsidP="00EC00A6">
      <w:pPr>
        <w:widowControl w:val="0"/>
        <w:jc w:val="both"/>
        <w:rPr>
          <w:rFonts w:asciiTheme="minorHAnsi" w:hAnsiTheme="minorHAnsi" w:cstheme="minorHAnsi"/>
          <w:sz w:val="22"/>
          <w:szCs w:val="22"/>
        </w:rPr>
      </w:pPr>
    </w:p>
    <w:p w14:paraId="16B0EA1F"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kancelaryjnej, jednolitych rzeczowych wykazów akt oraz instrukcji w sprawie organizacji </w:t>
      </w:r>
    </w:p>
    <w:p w14:paraId="1C12768A"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i zakresu działania archiwów zakładowych. </w:t>
      </w:r>
    </w:p>
    <w:p w14:paraId="0B5A465B" w14:textId="77777777" w:rsidR="00EC00A6" w:rsidRPr="002B0AF4" w:rsidRDefault="00EC00A6" w:rsidP="00EC00A6">
      <w:pPr>
        <w:widowControl w:val="0"/>
        <w:jc w:val="both"/>
        <w:rPr>
          <w:rFonts w:asciiTheme="minorHAnsi" w:hAnsiTheme="minorHAnsi" w:cstheme="minorHAnsi"/>
          <w:sz w:val="22"/>
          <w:szCs w:val="22"/>
        </w:rPr>
      </w:pPr>
    </w:p>
    <w:p w14:paraId="2149C9B5"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IV. Sposób pozyskiwania danych</w:t>
      </w:r>
    </w:p>
    <w:p w14:paraId="26CBE485"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Dane pozyskujemy bezpośrednio od osób, których one dotyczą, albo od instytucji i podmiotów </w:t>
      </w:r>
    </w:p>
    <w:p w14:paraId="770A8BE5"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zaangażowanych w realizację Programu, w tym w szczególności od wnioskodawców, beneficjentów, </w:t>
      </w:r>
    </w:p>
    <w:p w14:paraId="6AA5B844"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partnerów. </w:t>
      </w:r>
    </w:p>
    <w:p w14:paraId="729AEE14" w14:textId="77777777" w:rsidR="00EC00A6" w:rsidRPr="002B0AF4" w:rsidRDefault="00EC00A6" w:rsidP="00EC00A6">
      <w:pPr>
        <w:widowControl w:val="0"/>
        <w:jc w:val="both"/>
        <w:rPr>
          <w:rFonts w:asciiTheme="minorHAnsi" w:hAnsiTheme="minorHAnsi" w:cstheme="minorHAnsi"/>
          <w:sz w:val="22"/>
          <w:szCs w:val="22"/>
        </w:rPr>
      </w:pPr>
    </w:p>
    <w:p w14:paraId="3CAC6C41"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V. Dostęp do danych osobowych</w:t>
      </w:r>
    </w:p>
    <w:p w14:paraId="3DC1BE2C"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Dostęp do Państwa danych osobowych mają pracownicy i współpracownicy administratora. Ponadto </w:t>
      </w:r>
    </w:p>
    <w:p w14:paraId="4CA97F8A"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Państwa dane osobowe mogą być udostępniane: </w:t>
      </w:r>
    </w:p>
    <w:p w14:paraId="1D8EBE02"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1. podmiotom, którym zleciliśmy wykonywanie zadań w FE SL 2021-2027, </w:t>
      </w:r>
    </w:p>
    <w:p w14:paraId="081C0349"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2. podmioty uprawnione do uzyskania danych osobowych na podstawie przepisów prawa; </w:t>
      </w:r>
    </w:p>
    <w:p w14:paraId="35B6AF9B"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3. organom Komisji Europejskiej, ministrowi właściwemu do spraw finansów publicznych, prezesowi </w:t>
      </w:r>
    </w:p>
    <w:p w14:paraId="3C7BADF7"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zakładu ubezpieczeń społecznych, </w:t>
      </w:r>
    </w:p>
    <w:p w14:paraId="6FCDC2B5"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4. podmiotom, które wykonują dla nas usługi związane z obsługą i rozwojem systemów </w:t>
      </w:r>
    </w:p>
    <w:p w14:paraId="43B37BC3"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teleinformatycznych, a także zapewnieniem łączności, np. dostawcom rozwiązań IT i operatorom </w:t>
      </w:r>
    </w:p>
    <w:p w14:paraId="579FB1CB"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telekomunikacyjnym. </w:t>
      </w:r>
    </w:p>
    <w:p w14:paraId="24749D4D" w14:textId="77777777" w:rsidR="00EC00A6" w:rsidRPr="002B0AF4" w:rsidRDefault="00EC00A6" w:rsidP="00EC00A6">
      <w:pPr>
        <w:widowControl w:val="0"/>
        <w:jc w:val="both"/>
        <w:rPr>
          <w:rFonts w:asciiTheme="minorHAnsi" w:hAnsiTheme="minorHAnsi" w:cstheme="minorHAnsi"/>
          <w:sz w:val="22"/>
          <w:szCs w:val="22"/>
        </w:rPr>
      </w:pPr>
    </w:p>
    <w:p w14:paraId="28C363AC"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VI. Okres przechowywania danych</w:t>
      </w:r>
    </w:p>
    <w:p w14:paraId="6AD38903"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Dane osobowe są przechowywane przez okres niezbędny do realizacji celów określonych w punkcie II. </w:t>
      </w:r>
    </w:p>
    <w:p w14:paraId="503C1586" w14:textId="77777777" w:rsidR="00EC00A6" w:rsidRPr="002B0AF4" w:rsidRDefault="00EC00A6" w:rsidP="00EC00A6">
      <w:pPr>
        <w:widowControl w:val="0"/>
        <w:jc w:val="both"/>
        <w:rPr>
          <w:rFonts w:asciiTheme="minorHAnsi" w:hAnsiTheme="minorHAnsi" w:cstheme="minorHAnsi"/>
          <w:sz w:val="22"/>
          <w:szCs w:val="22"/>
        </w:rPr>
      </w:pPr>
    </w:p>
    <w:p w14:paraId="2C12A300"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VII. Prawa osób, których dane dotyczą</w:t>
      </w:r>
    </w:p>
    <w:p w14:paraId="6204115D"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Przysługują Państwu następujące prawa: </w:t>
      </w:r>
    </w:p>
    <w:p w14:paraId="511AF8DF"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lastRenderedPageBreak/>
        <w:t xml:space="preserve">1. prawo dostępu do swoich danych oraz otrzymania ich kopii (art. 15 RODO), </w:t>
      </w:r>
    </w:p>
    <w:p w14:paraId="12CA65EC"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2. prawo do sprostowania swoich danych (art. 16 RODO), </w:t>
      </w:r>
    </w:p>
    <w:p w14:paraId="79B4B937"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3. prawo do usunięcia swoich danych (art. 17 RODO) - jeśli nie zaistniały okoliczności, o których </w:t>
      </w:r>
    </w:p>
    <w:p w14:paraId="253272CF"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mowa w art. 17 ust. 3 RODO, </w:t>
      </w:r>
    </w:p>
    <w:p w14:paraId="1B6B448C"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4. prawo do żądania od administratora ograniczenia przetwarzania swoich danych (art. 18 RODO), </w:t>
      </w:r>
    </w:p>
    <w:p w14:paraId="7D315E10"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5. prawo do przenoszenia swoich danych (art. 20 RODO) - jeśli przetwarzanie odbywa się </w:t>
      </w:r>
    </w:p>
    <w:p w14:paraId="69F27649"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na podstawie umowy: w celu jej zawarcia lub realizacji (w myśl art. 6 ust. 1 lit. b RODO), oraz w </w:t>
      </w:r>
    </w:p>
    <w:p w14:paraId="15B0ACB5"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sposób zautomatyzowany7</w:t>
      </w:r>
    </w:p>
    <w:p w14:paraId="35DE5B98"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7 Do automatyzacji procesu przetwarzania danych osobowych wystarczy, że dane te są zapisane na dysku komputera , </w:t>
      </w:r>
    </w:p>
    <w:p w14:paraId="2E6CA6C5"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6. prawo wniesienia skargi do organu nadzorczego Prezesa Urzędu Ochrony Danych Osobowych </w:t>
      </w:r>
    </w:p>
    <w:p w14:paraId="19469129"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(art. 77 RODO) - w przypadku, gdy osoba uzna, iż przetwarzanie jej danych osobowych narusza </w:t>
      </w:r>
    </w:p>
    <w:p w14:paraId="433B9136"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przepisy RODO lub inne krajowe przepisy regulujące kwestię ochrony danych osobowych, </w:t>
      </w:r>
    </w:p>
    <w:p w14:paraId="5F3E8AC0"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obowiązujące w Polsce. </w:t>
      </w:r>
    </w:p>
    <w:p w14:paraId="7D5DC22F" w14:textId="77777777" w:rsidR="00EC00A6" w:rsidRPr="002B0AF4" w:rsidRDefault="00EC00A6" w:rsidP="00EC00A6">
      <w:pPr>
        <w:widowControl w:val="0"/>
        <w:jc w:val="both"/>
        <w:rPr>
          <w:rFonts w:asciiTheme="minorHAnsi" w:hAnsiTheme="minorHAnsi" w:cstheme="minorHAnsi"/>
          <w:sz w:val="22"/>
          <w:szCs w:val="22"/>
        </w:rPr>
      </w:pPr>
    </w:p>
    <w:p w14:paraId="10EF8E7F"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VIII. Zautomatyzowane podejmowanie decyzji</w:t>
      </w:r>
    </w:p>
    <w:p w14:paraId="513A56B5"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Dane osobowe nie będą podlegały zautomatyzowanemu podejmowaniu decyzji, w tym profilowaniu. </w:t>
      </w:r>
    </w:p>
    <w:p w14:paraId="461D3CEA" w14:textId="77777777" w:rsidR="00EC00A6" w:rsidRPr="002B0AF4" w:rsidRDefault="00EC00A6" w:rsidP="00EC00A6">
      <w:pPr>
        <w:widowControl w:val="0"/>
        <w:jc w:val="both"/>
        <w:rPr>
          <w:rFonts w:asciiTheme="minorHAnsi" w:hAnsiTheme="minorHAnsi" w:cstheme="minorHAnsi"/>
          <w:sz w:val="22"/>
          <w:szCs w:val="22"/>
        </w:rPr>
      </w:pPr>
    </w:p>
    <w:p w14:paraId="6AB6AAB5"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IX. Przekazywanie danych do państwa trzeciego</w:t>
      </w:r>
    </w:p>
    <w:p w14:paraId="7CBFC974"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Państwa dane osobowe nie będą przekazywane do państwa trzeciego. </w:t>
      </w:r>
    </w:p>
    <w:p w14:paraId="64A04FF7" w14:textId="77777777" w:rsidR="00EC00A6" w:rsidRPr="002B0AF4" w:rsidRDefault="00EC00A6" w:rsidP="00EC00A6">
      <w:pPr>
        <w:widowControl w:val="0"/>
        <w:jc w:val="both"/>
        <w:rPr>
          <w:rFonts w:asciiTheme="minorHAnsi" w:hAnsiTheme="minorHAnsi" w:cstheme="minorHAnsi"/>
          <w:sz w:val="22"/>
          <w:szCs w:val="22"/>
        </w:rPr>
      </w:pPr>
    </w:p>
    <w:p w14:paraId="75289510"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X. Kontakt z administratorem danych</w:t>
      </w:r>
    </w:p>
    <w:p w14:paraId="30EB7AF4"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Jeśli mają Państwo pytania dotyczące przetwarzania Państwa danych osobowych, prosimy kontaktować się z Administratorem – Romanem </w:t>
      </w:r>
      <w:proofErr w:type="spellStart"/>
      <w:r w:rsidRPr="002B0AF4">
        <w:rPr>
          <w:rFonts w:asciiTheme="minorHAnsi" w:hAnsiTheme="minorHAnsi" w:cstheme="minorHAnsi"/>
          <w:sz w:val="22"/>
          <w:szCs w:val="22"/>
        </w:rPr>
        <w:t>Kraczlą</w:t>
      </w:r>
      <w:proofErr w:type="spellEnd"/>
      <w:r w:rsidRPr="002B0AF4">
        <w:rPr>
          <w:rFonts w:asciiTheme="minorHAnsi" w:hAnsiTheme="minorHAnsi" w:cstheme="minorHAnsi"/>
          <w:sz w:val="22"/>
          <w:szCs w:val="22"/>
        </w:rPr>
        <w:t xml:space="preserve"> w następujący sposób: </w:t>
      </w:r>
    </w:p>
    <w:p w14:paraId="54D8AB18" w14:textId="30099A9E"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pocztą tradycyjną (40-08</w:t>
      </w:r>
      <w:r w:rsidR="006829C2">
        <w:rPr>
          <w:rFonts w:asciiTheme="minorHAnsi" w:hAnsiTheme="minorHAnsi" w:cstheme="minorHAnsi"/>
          <w:sz w:val="22"/>
          <w:szCs w:val="22"/>
        </w:rPr>
        <w:t>7</w:t>
      </w:r>
      <w:r w:rsidRPr="002B0AF4">
        <w:rPr>
          <w:rFonts w:asciiTheme="minorHAnsi" w:hAnsiTheme="minorHAnsi" w:cstheme="minorHAnsi"/>
          <w:sz w:val="22"/>
          <w:szCs w:val="22"/>
        </w:rPr>
        <w:t xml:space="preserve"> Katowice, Sokolska 65/14), </w:t>
      </w:r>
    </w:p>
    <w:p w14:paraId="1728AA5D"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elektronicznie (adres e-mail: biuro@smgkrc.com )</w:t>
      </w:r>
    </w:p>
    <w:p w14:paraId="0E1C61D1" w14:textId="77777777" w:rsidR="00EC00A6" w:rsidRPr="002B0AF4" w:rsidRDefault="00EC00A6" w:rsidP="00EC00A6">
      <w:pPr>
        <w:widowControl w:val="0"/>
        <w:jc w:val="center"/>
        <w:rPr>
          <w:rFonts w:asciiTheme="minorHAnsi" w:hAnsiTheme="minorHAnsi" w:cstheme="minorHAnsi"/>
          <w:sz w:val="22"/>
          <w:szCs w:val="22"/>
        </w:rPr>
      </w:pPr>
    </w:p>
    <w:p w14:paraId="71E152F5"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XI. Informacje dodatkowe</w:t>
      </w:r>
    </w:p>
    <w:p w14:paraId="6C387E82"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Informacje dotyczące przetwarzania danych osobowych w programie oraz wszelkie ewentualne </w:t>
      </w:r>
    </w:p>
    <w:p w14:paraId="4E5A24A8"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aktualizacje treści klauzuli informacyjnej są dostępne na stronie: </w:t>
      </w:r>
    </w:p>
    <w:p w14:paraId="733D1C5E" w14:textId="77777777" w:rsidR="00EC00A6" w:rsidRPr="002B0AF4" w:rsidRDefault="00EC00A6" w:rsidP="00EC00A6">
      <w:pPr>
        <w:jc w:val="both"/>
        <w:rPr>
          <w:rFonts w:asciiTheme="minorHAnsi" w:hAnsiTheme="minorHAnsi" w:cstheme="minorHAnsi"/>
          <w:sz w:val="22"/>
          <w:szCs w:val="22"/>
        </w:rPr>
      </w:pPr>
      <w:hyperlink r:id="rId8" w:history="1">
        <w:r w:rsidRPr="002B0AF4">
          <w:rPr>
            <w:rStyle w:val="Hipercze"/>
            <w:rFonts w:asciiTheme="minorHAnsi" w:eastAsiaTheme="majorEastAsia" w:hAnsiTheme="minorHAnsi" w:cstheme="minorHAnsi"/>
            <w:sz w:val="22"/>
            <w:szCs w:val="22"/>
          </w:rPr>
          <w:t>https://smgkrc.com/aktualne-projekty/subregion-centralny-inwestuje-w-zielone-umiejetnosci</w:t>
        </w:r>
      </w:hyperlink>
    </w:p>
    <w:p w14:paraId="0A762C1A" w14:textId="77777777" w:rsidR="00EC00A6" w:rsidRPr="002B0AF4" w:rsidRDefault="00EC00A6" w:rsidP="00EC00A6">
      <w:pPr>
        <w:jc w:val="both"/>
        <w:rPr>
          <w:rFonts w:asciiTheme="minorHAnsi" w:hAnsiTheme="minorHAnsi"/>
          <w:sz w:val="22"/>
          <w:szCs w:val="22"/>
        </w:rPr>
      </w:pPr>
      <w:r w:rsidRPr="002B0AF4">
        <w:rPr>
          <w:rFonts w:asciiTheme="minorHAnsi" w:hAnsiTheme="minorHAnsi" w:cstheme="minorHAnsi"/>
          <w:b/>
          <w:bCs/>
          <w:sz w:val="22"/>
          <w:szCs w:val="22"/>
        </w:rPr>
        <w:t xml:space="preserve">Jednocześnie </w:t>
      </w:r>
      <w:r w:rsidRPr="002B0AF4">
        <w:rPr>
          <w:rFonts w:asciiTheme="minorHAnsi" w:hAnsiTheme="minorHAnsi" w:cstheme="minorHAnsi"/>
          <w:sz w:val="22"/>
          <w:szCs w:val="22"/>
        </w:rPr>
        <w:t>informujemy, iż w celu zapewnienia bezpieczeństwa przetwarzanych danych stosujemy odpowiednie rodzaje zabezpieczeń technicznych i organizacyjnych.</w:t>
      </w:r>
    </w:p>
    <w:p w14:paraId="72868EED" w14:textId="77777777" w:rsidR="00EC00A6" w:rsidRDefault="00EC00A6" w:rsidP="00EC00A6">
      <w:pPr>
        <w:spacing w:line="276" w:lineRule="auto"/>
        <w:jc w:val="both"/>
        <w:rPr>
          <w:rFonts w:ascii="Calibri" w:eastAsia="Calibri" w:hAnsi="Calibri"/>
          <w:sz w:val="22"/>
        </w:rPr>
      </w:pPr>
    </w:p>
    <w:p w14:paraId="2FCB3AE4" w14:textId="77777777" w:rsidR="00D721E6" w:rsidRPr="00320D85" w:rsidRDefault="00D721E6" w:rsidP="00320D85">
      <w:pPr>
        <w:spacing w:line="276" w:lineRule="auto"/>
        <w:jc w:val="both"/>
        <w:rPr>
          <w:rFonts w:ascii="Calibri" w:eastAsia="Calibri" w:hAnsi="Calibri"/>
          <w:sz w:val="22"/>
        </w:rPr>
      </w:pPr>
    </w:p>
    <w:p w14:paraId="229F15C5" w14:textId="77777777" w:rsidR="00D721E6" w:rsidRPr="00320D85" w:rsidRDefault="00D721E6"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C2C1D" w14:textId="77777777" w:rsidR="00443E15" w:rsidRDefault="00443E15" w:rsidP="00D721E6">
      <w:r>
        <w:separator/>
      </w:r>
    </w:p>
  </w:endnote>
  <w:endnote w:type="continuationSeparator" w:id="0">
    <w:p w14:paraId="7C327C89" w14:textId="77777777" w:rsidR="00443E15" w:rsidRDefault="00443E15" w:rsidP="00D721E6">
      <w:r>
        <w:continuationSeparator/>
      </w:r>
    </w:p>
  </w:endnote>
  <w:endnote w:type="continuationNotice" w:id="1">
    <w:p w14:paraId="3E2382FF" w14:textId="77777777" w:rsidR="00443E15" w:rsidRDefault="00443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9809" w14:textId="77777777" w:rsidR="00443E15" w:rsidRDefault="00443E15" w:rsidP="00D721E6">
      <w:r>
        <w:separator/>
      </w:r>
    </w:p>
  </w:footnote>
  <w:footnote w:type="continuationSeparator" w:id="0">
    <w:p w14:paraId="2B9A8297" w14:textId="77777777" w:rsidR="00443E15" w:rsidRDefault="00443E15" w:rsidP="00D721E6">
      <w:r>
        <w:continuationSeparator/>
      </w:r>
    </w:p>
  </w:footnote>
  <w:footnote w:type="continuationNotice" w:id="1">
    <w:p w14:paraId="0382CF9B" w14:textId="77777777" w:rsidR="00443E15" w:rsidRDefault="00443E15"/>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0D576623"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9AEC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21FF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5" w15:restartNumberingAfterBreak="0">
    <w:nsid w:val="264A7A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B56C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737552940">
    <w:abstractNumId w:val="2"/>
  </w:num>
  <w:num w:numId="2" w16cid:durableId="267467537">
    <w:abstractNumId w:val="4"/>
  </w:num>
  <w:num w:numId="3" w16cid:durableId="1480531942">
    <w:abstractNumId w:val="11"/>
  </w:num>
  <w:num w:numId="4" w16cid:durableId="611938864">
    <w:abstractNumId w:val="0"/>
  </w:num>
  <w:num w:numId="5" w16cid:durableId="1589074636">
    <w:abstractNumId w:val="10"/>
  </w:num>
  <w:num w:numId="6" w16cid:durableId="1864781427">
    <w:abstractNumId w:val="9"/>
  </w:num>
  <w:num w:numId="7" w16cid:durableId="155847217">
    <w:abstractNumId w:val="8"/>
  </w:num>
  <w:num w:numId="8" w16cid:durableId="1872641914">
    <w:abstractNumId w:val="7"/>
  </w:num>
  <w:num w:numId="9" w16cid:durableId="1609971643">
    <w:abstractNumId w:val="1"/>
  </w:num>
  <w:num w:numId="10" w16cid:durableId="1250382097">
    <w:abstractNumId w:val="5"/>
  </w:num>
  <w:num w:numId="11" w16cid:durableId="1227453110">
    <w:abstractNumId w:val="3"/>
  </w:num>
  <w:num w:numId="12" w16cid:durableId="572442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7BE3"/>
    <w:rsid w:val="0007039C"/>
    <w:rsid w:val="000850B3"/>
    <w:rsid w:val="0008580A"/>
    <w:rsid w:val="000977C3"/>
    <w:rsid w:val="000B5F4B"/>
    <w:rsid w:val="000E36A9"/>
    <w:rsid w:val="000F547B"/>
    <w:rsid w:val="00102A52"/>
    <w:rsid w:val="00107256"/>
    <w:rsid w:val="001207AC"/>
    <w:rsid w:val="00143B71"/>
    <w:rsid w:val="00162C59"/>
    <w:rsid w:val="00167E7B"/>
    <w:rsid w:val="001A14E1"/>
    <w:rsid w:val="001A24B3"/>
    <w:rsid w:val="001B32EE"/>
    <w:rsid w:val="001D699E"/>
    <w:rsid w:val="001E7301"/>
    <w:rsid w:val="00202B9B"/>
    <w:rsid w:val="0023448E"/>
    <w:rsid w:val="002603B4"/>
    <w:rsid w:val="00276E56"/>
    <w:rsid w:val="00281434"/>
    <w:rsid w:val="002819C5"/>
    <w:rsid w:val="002834E3"/>
    <w:rsid w:val="00287D4C"/>
    <w:rsid w:val="002C1DA6"/>
    <w:rsid w:val="002D63E2"/>
    <w:rsid w:val="002D7D8A"/>
    <w:rsid w:val="002F4B6A"/>
    <w:rsid w:val="00320D85"/>
    <w:rsid w:val="0032197C"/>
    <w:rsid w:val="00334673"/>
    <w:rsid w:val="00335DC6"/>
    <w:rsid w:val="003645BD"/>
    <w:rsid w:val="00392B5D"/>
    <w:rsid w:val="003A2836"/>
    <w:rsid w:val="003B6345"/>
    <w:rsid w:val="00401749"/>
    <w:rsid w:val="0040304C"/>
    <w:rsid w:val="00417CFD"/>
    <w:rsid w:val="00421947"/>
    <w:rsid w:val="004270E2"/>
    <w:rsid w:val="00443E15"/>
    <w:rsid w:val="00460185"/>
    <w:rsid w:val="004925B9"/>
    <w:rsid w:val="0049292E"/>
    <w:rsid w:val="0049425F"/>
    <w:rsid w:val="004A51DC"/>
    <w:rsid w:val="004C0032"/>
    <w:rsid w:val="004D6D0B"/>
    <w:rsid w:val="004D7160"/>
    <w:rsid w:val="004E7DE0"/>
    <w:rsid w:val="004F28A5"/>
    <w:rsid w:val="004F5FE5"/>
    <w:rsid w:val="004F6BA3"/>
    <w:rsid w:val="004F7176"/>
    <w:rsid w:val="00501761"/>
    <w:rsid w:val="00505894"/>
    <w:rsid w:val="005317A5"/>
    <w:rsid w:val="00532CC1"/>
    <w:rsid w:val="005608E9"/>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829C2"/>
    <w:rsid w:val="00690CDA"/>
    <w:rsid w:val="00691CAF"/>
    <w:rsid w:val="006A67EB"/>
    <w:rsid w:val="006D0CDE"/>
    <w:rsid w:val="006E4F97"/>
    <w:rsid w:val="00710928"/>
    <w:rsid w:val="007251D6"/>
    <w:rsid w:val="00737B98"/>
    <w:rsid w:val="00742EE8"/>
    <w:rsid w:val="00753F69"/>
    <w:rsid w:val="00771366"/>
    <w:rsid w:val="007A3E3B"/>
    <w:rsid w:val="007C6645"/>
    <w:rsid w:val="007D1DB5"/>
    <w:rsid w:val="007E187D"/>
    <w:rsid w:val="00807A9B"/>
    <w:rsid w:val="00820111"/>
    <w:rsid w:val="00824337"/>
    <w:rsid w:val="00852C8D"/>
    <w:rsid w:val="008622C5"/>
    <w:rsid w:val="008634B4"/>
    <w:rsid w:val="00893AC6"/>
    <w:rsid w:val="008A0E9C"/>
    <w:rsid w:val="008B7CCF"/>
    <w:rsid w:val="008C0803"/>
    <w:rsid w:val="008D3336"/>
    <w:rsid w:val="00913E96"/>
    <w:rsid w:val="00994592"/>
    <w:rsid w:val="009A3948"/>
    <w:rsid w:val="009A7ECE"/>
    <w:rsid w:val="009B0009"/>
    <w:rsid w:val="009B2D24"/>
    <w:rsid w:val="009D2075"/>
    <w:rsid w:val="00A06BF8"/>
    <w:rsid w:val="00A6222E"/>
    <w:rsid w:val="00A71B83"/>
    <w:rsid w:val="00A87834"/>
    <w:rsid w:val="00A9467C"/>
    <w:rsid w:val="00A97DDC"/>
    <w:rsid w:val="00AB65FC"/>
    <w:rsid w:val="00AC1B34"/>
    <w:rsid w:val="00AC4893"/>
    <w:rsid w:val="00AD2D46"/>
    <w:rsid w:val="00B06B10"/>
    <w:rsid w:val="00B20BB5"/>
    <w:rsid w:val="00B2573F"/>
    <w:rsid w:val="00B55B98"/>
    <w:rsid w:val="00B56473"/>
    <w:rsid w:val="00B603E0"/>
    <w:rsid w:val="00B6140D"/>
    <w:rsid w:val="00B63232"/>
    <w:rsid w:val="00BB788B"/>
    <w:rsid w:val="00BC5C0B"/>
    <w:rsid w:val="00BE2159"/>
    <w:rsid w:val="00BE5632"/>
    <w:rsid w:val="00C137AA"/>
    <w:rsid w:val="00C27F92"/>
    <w:rsid w:val="00C53F99"/>
    <w:rsid w:val="00C74FB4"/>
    <w:rsid w:val="00C8184B"/>
    <w:rsid w:val="00C86501"/>
    <w:rsid w:val="00C957B3"/>
    <w:rsid w:val="00C965DE"/>
    <w:rsid w:val="00CC1D4F"/>
    <w:rsid w:val="00CD4AA2"/>
    <w:rsid w:val="00CD5803"/>
    <w:rsid w:val="00CE0723"/>
    <w:rsid w:val="00CE1F40"/>
    <w:rsid w:val="00CF365A"/>
    <w:rsid w:val="00D04207"/>
    <w:rsid w:val="00D13D26"/>
    <w:rsid w:val="00D2273B"/>
    <w:rsid w:val="00D25CFF"/>
    <w:rsid w:val="00D4529E"/>
    <w:rsid w:val="00D51B26"/>
    <w:rsid w:val="00D537EA"/>
    <w:rsid w:val="00D71B8E"/>
    <w:rsid w:val="00D721E6"/>
    <w:rsid w:val="00D8088A"/>
    <w:rsid w:val="00D97AB5"/>
    <w:rsid w:val="00DA3083"/>
    <w:rsid w:val="00DA7603"/>
    <w:rsid w:val="00DC13DC"/>
    <w:rsid w:val="00DC44AD"/>
    <w:rsid w:val="00DE1925"/>
    <w:rsid w:val="00E0482A"/>
    <w:rsid w:val="00E06D22"/>
    <w:rsid w:val="00E26C5C"/>
    <w:rsid w:val="00E33A93"/>
    <w:rsid w:val="00E45BDE"/>
    <w:rsid w:val="00E4730B"/>
    <w:rsid w:val="00E62EC3"/>
    <w:rsid w:val="00E67BF4"/>
    <w:rsid w:val="00E80966"/>
    <w:rsid w:val="00E9570E"/>
    <w:rsid w:val="00EC00A6"/>
    <w:rsid w:val="00EC6B3A"/>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EC00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gkrc.com/aktualne-projekty/subregion-centralny-inwestuje-w-zielone-umiejetnos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D2479-9548-4BD7-A1A0-004D7B84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2768</Words>
  <Characters>16611</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Paulina Maturlak</cp:lastModifiedBy>
  <cp:revision>2</cp:revision>
  <dcterms:created xsi:type="dcterms:W3CDTF">2025-11-19T12:10:00Z</dcterms:created>
  <dcterms:modified xsi:type="dcterms:W3CDTF">2025-11-19T12:10:00Z</dcterms:modified>
</cp:coreProperties>
</file>